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93" w:rsidRPr="002F5A07" w:rsidRDefault="004C2993" w:rsidP="009A6F9F">
      <w:pPr>
        <w:jc w:val="both"/>
        <w:rPr>
          <w:rFonts w:ascii="Arial" w:hAnsi="Arial" w:cs="Arial"/>
          <w:i/>
          <w:sz w:val="28"/>
          <w:szCs w:val="28"/>
        </w:rPr>
      </w:pPr>
      <w:r w:rsidRPr="002F5A07">
        <w:rPr>
          <w:rFonts w:ascii="Arial" w:hAnsi="Arial" w:cs="Arial"/>
          <w:i/>
          <w:sz w:val="28"/>
          <w:szCs w:val="28"/>
        </w:rPr>
        <w:t>Senato della Repubblica</w:t>
      </w:r>
      <w:r w:rsidRPr="002F5A07">
        <w:rPr>
          <w:rFonts w:ascii="Arial" w:hAnsi="Arial" w:cs="Arial"/>
          <w:i/>
          <w:sz w:val="28"/>
          <w:szCs w:val="28"/>
        </w:rPr>
        <w:tab/>
      </w:r>
      <w:r w:rsidR="009A6F9F" w:rsidRPr="002F5A07">
        <w:rPr>
          <w:rFonts w:ascii="Arial" w:hAnsi="Arial" w:cs="Arial"/>
          <w:i/>
          <w:sz w:val="28"/>
          <w:szCs w:val="28"/>
        </w:rPr>
        <w:t xml:space="preserve">                </w:t>
      </w:r>
      <w:r w:rsidR="006907E2" w:rsidRPr="002F5A07">
        <w:rPr>
          <w:rFonts w:ascii="Arial" w:hAnsi="Arial" w:cs="Arial"/>
          <w:i/>
          <w:sz w:val="28"/>
          <w:szCs w:val="28"/>
        </w:rPr>
        <w:t xml:space="preserve">                               </w:t>
      </w:r>
      <w:r w:rsidRPr="002F5A07">
        <w:rPr>
          <w:rFonts w:ascii="Arial" w:hAnsi="Arial" w:cs="Arial"/>
          <w:i/>
          <w:sz w:val="28"/>
          <w:szCs w:val="28"/>
        </w:rPr>
        <w:t>X</w:t>
      </w:r>
      <w:r w:rsidR="009A6F9F" w:rsidRPr="002F5A07">
        <w:rPr>
          <w:rFonts w:ascii="Arial" w:hAnsi="Arial" w:cs="Arial"/>
          <w:i/>
          <w:sz w:val="28"/>
          <w:szCs w:val="28"/>
        </w:rPr>
        <w:t>V</w:t>
      </w:r>
      <w:r w:rsidR="006907E2" w:rsidRPr="002F5A07">
        <w:rPr>
          <w:rFonts w:ascii="Arial" w:hAnsi="Arial" w:cs="Arial"/>
          <w:i/>
          <w:sz w:val="28"/>
          <w:szCs w:val="28"/>
        </w:rPr>
        <w:t>I</w:t>
      </w:r>
      <w:r w:rsidRPr="002F5A07">
        <w:rPr>
          <w:rFonts w:ascii="Arial" w:hAnsi="Arial" w:cs="Arial"/>
          <w:i/>
          <w:sz w:val="28"/>
          <w:szCs w:val="28"/>
        </w:rPr>
        <w:t xml:space="preserve"> Legislatura</w:t>
      </w:r>
    </w:p>
    <w:p w:rsidR="004C2993" w:rsidRDefault="004C2993" w:rsidP="009A6F9F">
      <w:pPr>
        <w:jc w:val="both"/>
        <w:rPr>
          <w:sz w:val="28"/>
        </w:rPr>
      </w:pPr>
      <w:r>
        <w:rPr>
          <w:sz w:val="28"/>
        </w:rPr>
        <w:tab/>
      </w:r>
    </w:p>
    <w:p w:rsidR="004F4AAB" w:rsidRDefault="00306EAA" w:rsidP="004F4AAB">
      <w:pPr>
        <w:jc w:val="center"/>
        <w:rPr>
          <w:b/>
          <w:smallCaps/>
          <w:spacing w:val="60"/>
          <w:sz w:val="32"/>
        </w:rPr>
      </w:pPr>
      <w:r>
        <w:rPr>
          <w:noProof/>
          <w:sz w:val="22"/>
        </w:rPr>
        <w:drawing>
          <wp:inline distT="0" distB="0" distL="0" distR="0">
            <wp:extent cx="830580" cy="746760"/>
            <wp:effectExtent l="19050" t="0" r="7620" b="0"/>
            <wp:docPr id="1" name="Immagine 1" descr="logo_comm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miss"/>
                    <pic:cNvPicPr>
                      <a:picLocks noChangeAspect="1" noChangeArrowheads="1"/>
                    </pic:cNvPicPr>
                  </pic:nvPicPr>
                  <pic:blipFill>
                    <a:blip r:embed="rId8" cstate="print"/>
                    <a:srcRect/>
                    <a:stretch>
                      <a:fillRect/>
                    </a:stretch>
                  </pic:blipFill>
                  <pic:spPr bwMode="auto">
                    <a:xfrm>
                      <a:off x="0" y="0"/>
                      <a:ext cx="830580" cy="746760"/>
                    </a:xfrm>
                    <a:prstGeom prst="rect">
                      <a:avLst/>
                    </a:prstGeom>
                    <a:noFill/>
                    <a:ln w="9525">
                      <a:noFill/>
                      <a:miter lim="800000"/>
                      <a:headEnd/>
                      <a:tailEnd/>
                    </a:ln>
                  </pic:spPr>
                </pic:pic>
              </a:graphicData>
            </a:graphic>
          </wp:inline>
        </w:drawing>
      </w:r>
    </w:p>
    <w:p w:rsidR="004C2993" w:rsidRDefault="004C2993" w:rsidP="004C2993">
      <w:pPr>
        <w:jc w:val="center"/>
        <w:rPr>
          <w:b/>
          <w:smallCaps/>
          <w:spacing w:val="60"/>
          <w:sz w:val="32"/>
        </w:rPr>
      </w:pPr>
      <w:r>
        <w:rPr>
          <w:sz w:val="22"/>
        </w:rPr>
        <w:t xml:space="preserve">                                       </w:t>
      </w:r>
    </w:p>
    <w:p w:rsidR="004C2993" w:rsidRPr="002F5A07" w:rsidRDefault="004C2993" w:rsidP="004C2993">
      <w:pPr>
        <w:jc w:val="center"/>
        <w:rPr>
          <w:rFonts w:ascii="Arial" w:hAnsi="Arial" w:cs="Arial"/>
          <w:b/>
          <w:smallCaps/>
          <w:spacing w:val="60"/>
          <w:sz w:val="32"/>
        </w:rPr>
      </w:pPr>
      <w:r w:rsidRPr="002F5A07">
        <w:rPr>
          <w:rFonts w:ascii="Arial" w:hAnsi="Arial" w:cs="Arial"/>
          <w:b/>
          <w:smallCaps/>
          <w:spacing w:val="60"/>
          <w:sz w:val="32"/>
        </w:rPr>
        <w:t>7ª Commissione</w:t>
      </w:r>
    </w:p>
    <w:p w:rsidR="004C2993" w:rsidRPr="002F5A07" w:rsidRDefault="004C2993" w:rsidP="004C2993">
      <w:pPr>
        <w:jc w:val="center"/>
        <w:rPr>
          <w:rFonts w:ascii="Arial" w:hAnsi="Arial" w:cs="Arial"/>
          <w:sz w:val="28"/>
          <w:szCs w:val="28"/>
        </w:rPr>
      </w:pPr>
      <w:r w:rsidRPr="002F5A07">
        <w:rPr>
          <w:rFonts w:ascii="Arial" w:hAnsi="Arial" w:cs="Arial"/>
          <w:sz w:val="28"/>
          <w:szCs w:val="28"/>
        </w:rPr>
        <w:t>(Istruzione pubblica, beni culturali, ricerca scientifica, spettacolo e sport)</w:t>
      </w:r>
    </w:p>
    <w:p w:rsidR="00E2504B" w:rsidRPr="002F5A07" w:rsidRDefault="00E2504B" w:rsidP="00875E6D">
      <w:pPr>
        <w:jc w:val="center"/>
        <w:rPr>
          <w:rFonts w:ascii="Arial" w:hAnsi="Arial" w:cs="Arial"/>
          <w:b/>
          <w:sz w:val="48"/>
          <w:szCs w:val="48"/>
        </w:rPr>
      </w:pPr>
    </w:p>
    <w:p w:rsidR="00875E6D" w:rsidRPr="002F5A07" w:rsidRDefault="00875E6D" w:rsidP="00875E6D">
      <w:pPr>
        <w:jc w:val="center"/>
        <w:rPr>
          <w:rFonts w:ascii="Arial" w:hAnsi="Arial" w:cs="Arial"/>
          <w:b/>
          <w:sz w:val="48"/>
          <w:szCs w:val="48"/>
        </w:rPr>
      </w:pPr>
      <w:r w:rsidRPr="002F5A07">
        <w:rPr>
          <w:rFonts w:ascii="Arial" w:hAnsi="Arial" w:cs="Arial"/>
          <w:b/>
          <w:sz w:val="48"/>
          <w:szCs w:val="48"/>
        </w:rPr>
        <w:t>SCHEDONE</w:t>
      </w:r>
    </w:p>
    <w:p w:rsidR="00453B20" w:rsidRDefault="00453B20" w:rsidP="00453B20">
      <w:pPr>
        <w:ind w:right="289"/>
        <w:jc w:val="center"/>
        <w:rPr>
          <w:b/>
          <w:i/>
          <w:sz w:val="28"/>
        </w:rPr>
      </w:pPr>
    </w:p>
    <w:p w:rsidR="00453B20" w:rsidRPr="009B1D5B" w:rsidRDefault="00F726C6" w:rsidP="00453B20">
      <w:pPr>
        <w:ind w:right="289"/>
        <w:jc w:val="center"/>
        <w:rPr>
          <w:b/>
          <w:i/>
          <w:sz w:val="32"/>
          <w:szCs w:val="32"/>
        </w:rPr>
      </w:pPr>
      <w:r w:rsidRPr="00F726C6">
        <w:rPr>
          <w:b/>
          <w:i/>
          <w:sz w:val="32"/>
          <w:szCs w:val="32"/>
        </w:rPr>
        <w:t>Schema di decreto legislativo recante introduzione della contabilità economico-patrimoniale, della contabilità analitica e del bilancio unico delle università</w:t>
      </w:r>
      <w:r w:rsidR="00453B20" w:rsidRPr="009B1D5B">
        <w:rPr>
          <w:b/>
          <w:i/>
          <w:sz w:val="32"/>
          <w:szCs w:val="32"/>
        </w:rPr>
        <w:t xml:space="preserve"> </w:t>
      </w:r>
    </w:p>
    <w:p w:rsidR="00453B20" w:rsidRPr="00F16052" w:rsidRDefault="00453B20" w:rsidP="00453B20">
      <w:pPr>
        <w:ind w:right="289"/>
        <w:jc w:val="center"/>
        <w:rPr>
          <w:b/>
          <w:i/>
          <w:sz w:val="28"/>
        </w:rPr>
      </w:pPr>
      <w:r w:rsidRPr="009B1D5B">
        <w:rPr>
          <w:b/>
          <w:i/>
          <w:sz w:val="32"/>
          <w:szCs w:val="32"/>
        </w:rPr>
        <w:t>(n. 39</w:t>
      </w:r>
      <w:r w:rsidR="00F726C6">
        <w:rPr>
          <w:b/>
          <w:i/>
          <w:sz w:val="32"/>
          <w:szCs w:val="32"/>
        </w:rPr>
        <w:t>5</w:t>
      </w:r>
      <w:r w:rsidRPr="009B1D5B">
        <w:rPr>
          <w:b/>
          <w:i/>
          <w:sz w:val="32"/>
          <w:szCs w:val="32"/>
        </w:rPr>
        <w:t>)</w:t>
      </w:r>
      <w:r>
        <w:rPr>
          <w:b/>
          <w:i/>
          <w:sz w:val="28"/>
        </w:rPr>
        <w:t xml:space="preserve"> </w:t>
      </w:r>
    </w:p>
    <w:p w:rsidR="00644CE0" w:rsidRDefault="00644CE0" w:rsidP="00942AC8">
      <w:pPr>
        <w:ind w:left="360" w:right="432"/>
        <w:jc w:val="center"/>
        <w:rPr>
          <w:sz w:val="28"/>
        </w:rPr>
      </w:pPr>
    </w:p>
    <w:tbl>
      <w:tblPr>
        <w:tblStyle w:val="Grigliatabella"/>
        <w:tblW w:w="0" w:type="auto"/>
        <w:tblInd w:w="-459" w:type="dxa"/>
        <w:tblLook w:val="01E0"/>
      </w:tblPr>
      <w:tblGrid>
        <w:gridCol w:w="2552"/>
        <w:gridCol w:w="2126"/>
        <w:gridCol w:w="2126"/>
        <w:gridCol w:w="3226"/>
      </w:tblGrid>
      <w:tr w:rsidR="00972C44">
        <w:tc>
          <w:tcPr>
            <w:tcW w:w="10030" w:type="dxa"/>
            <w:gridSpan w:val="4"/>
            <w:tcBorders>
              <w:top w:val="nil"/>
              <w:left w:val="nil"/>
              <w:right w:val="nil"/>
            </w:tcBorders>
          </w:tcPr>
          <w:p w:rsidR="00972C44" w:rsidRDefault="00972C44" w:rsidP="00F94EE1">
            <w:pPr>
              <w:ind w:right="432"/>
              <w:jc w:val="center"/>
              <w:rPr>
                <w:sz w:val="28"/>
              </w:rPr>
            </w:pPr>
            <w:r w:rsidRPr="00F94EE1">
              <w:rPr>
                <w:rFonts w:ascii="Arial" w:hAnsi="Arial" w:cs="Arial"/>
                <w:b/>
                <w:i/>
                <w:sz w:val="22"/>
                <w:szCs w:val="22"/>
              </w:rPr>
              <w:t>Sede consultiva atti del Governo</w:t>
            </w:r>
          </w:p>
        </w:tc>
      </w:tr>
      <w:tr w:rsidR="00972C44" w:rsidTr="00423F5A">
        <w:tc>
          <w:tcPr>
            <w:tcW w:w="2552" w:type="dxa"/>
          </w:tcPr>
          <w:p w:rsidR="00972C44" w:rsidRPr="00B24B6E" w:rsidRDefault="00972C44" w:rsidP="004C2993">
            <w:pPr>
              <w:ind w:right="432"/>
              <w:jc w:val="both"/>
              <w:rPr>
                <w:i/>
                <w:sz w:val="28"/>
              </w:rPr>
            </w:pPr>
            <w:r w:rsidRPr="00E70D43">
              <w:rPr>
                <w:rFonts w:ascii="Arial" w:hAnsi="Arial" w:cs="Arial"/>
                <w:b/>
                <w:i/>
                <w:sz w:val="22"/>
                <w:szCs w:val="22"/>
              </w:rPr>
              <w:t>Deferimento</w:t>
            </w:r>
          </w:p>
        </w:tc>
        <w:tc>
          <w:tcPr>
            <w:tcW w:w="2126" w:type="dxa"/>
          </w:tcPr>
          <w:p w:rsidR="00972C44" w:rsidRPr="00757783" w:rsidRDefault="00453B20" w:rsidP="00453B20">
            <w:pPr>
              <w:pStyle w:val="Indirizzomittente"/>
              <w:tabs>
                <w:tab w:val="left" w:pos="8505"/>
                <w:tab w:val="right" w:pos="9214"/>
              </w:tabs>
              <w:ind w:right="5"/>
              <w:rPr>
                <w:szCs w:val="24"/>
              </w:rPr>
            </w:pPr>
            <w:r w:rsidRPr="00453B20">
              <w:t>6 settembre 2011</w:t>
            </w:r>
          </w:p>
        </w:tc>
        <w:tc>
          <w:tcPr>
            <w:tcW w:w="2126" w:type="dxa"/>
          </w:tcPr>
          <w:p w:rsidR="00972C44" w:rsidRDefault="00972C44" w:rsidP="00B307F8">
            <w:pPr>
              <w:ind w:right="432"/>
              <w:jc w:val="both"/>
              <w:rPr>
                <w:sz w:val="28"/>
              </w:rPr>
            </w:pPr>
            <w:r w:rsidRPr="00E70D43">
              <w:rPr>
                <w:rFonts w:ascii="Arial" w:hAnsi="Arial" w:cs="Arial"/>
                <w:b/>
                <w:i/>
                <w:sz w:val="22"/>
                <w:szCs w:val="22"/>
              </w:rPr>
              <w:t>Relatore</w:t>
            </w:r>
          </w:p>
        </w:tc>
        <w:tc>
          <w:tcPr>
            <w:tcW w:w="3226" w:type="dxa"/>
          </w:tcPr>
          <w:p w:rsidR="00972C44" w:rsidRPr="00757783" w:rsidRDefault="00453B20" w:rsidP="00F726C6">
            <w:pPr>
              <w:ind w:right="432"/>
              <w:jc w:val="both"/>
              <w:rPr>
                <w:szCs w:val="24"/>
              </w:rPr>
            </w:pPr>
            <w:r w:rsidRPr="00453B20">
              <w:t xml:space="preserve">sen. </w:t>
            </w:r>
            <w:r w:rsidR="00F726C6">
              <w:t>Possa</w:t>
            </w:r>
          </w:p>
        </w:tc>
      </w:tr>
      <w:tr w:rsidR="00E70D43" w:rsidTr="00423F5A">
        <w:tc>
          <w:tcPr>
            <w:tcW w:w="2552" w:type="dxa"/>
          </w:tcPr>
          <w:p w:rsidR="00E70D43" w:rsidRPr="00E70D43" w:rsidRDefault="00E70D43" w:rsidP="004C2993">
            <w:pPr>
              <w:ind w:right="432"/>
              <w:jc w:val="both"/>
              <w:rPr>
                <w:rFonts w:ascii="Arial" w:hAnsi="Arial" w:cs="Arial"/>
                <w:b/>
                <w:i/>
                <w:sz w:val="22"/>
                <w:szCs w:val="22"/>
              </w:rPr>
            </w:pPr>
            <w:r w:rsidRPr="00E70D43">
              <w:rPr>
                <w:rFonts w:ascii="Arial" w:hAnsi="Arial" w:cs="Arial"/>
                <w:b/>
                <w:i/>
                <w:sz w:val="22"/>
                <w:szCs w:val="22"/>
              </w:rPr>
              <w:t>Termine ordinario</w:t>
            </w:r>
          </w:p>
        </w:tc>
        <w:tc>
          <w:tcPr>
            <w:tcW w:w="2126" w:type="dxa"/>
          </w:tcPr>
          <w:p w:rsidR="00E70D43" w:rsidRPr="00757783" w:rsidRDefault="00F726C6" w:rsidP="00C001B0">
            <w:pPr>
              <w:ind w:right="-108"/>
              <w:jc w:val="both"/>
              <w:rPr>
                <w:szCs w:val="24"/>
              </w:rPr>
            </w:pPr>
            <w:r>
              <w:t>5 novembre</w:t>
            </w:r>
            <w:r w:rsidR="00453B20" w:rsidRPr="00453B20">
              <w:t xml:space="preserve"> 2011</w:t>
            </w:r>
          </w:p>
        </w:tc>
        <w:tc>
          <w:tcPr>
            <w:tcW w:w="2126" w:type="dxa"/>
            <w:shd w:val="clear" w:color="auto" w:fill="auto"/>
          </w:tcPr>
          <w:p w:rsidR="00E70D43" w:rsidRPr="00E70D43" w:rsidRDefault="00E70D43" w:rsidP="004C2993">
            <w:pPr>
              <w:ind w:right="432"/>
              <w:jc w:val="both"/>
              <w:rPr>
                <w:rFonts w:ascii="Arial" w:hAnsi="Arial" w:cs="Arial"/>
                <w:b/>
                <w:i/>
                <w:sz w:val="22"/>
                <w:szCs w:val="22"/>
              </w:rPr>
            </w:pPr>
            <w:r w:rsidRPr="00E70D43">
              <w:rPr>
                <w:rFonts w:ascii="Arial" w:hAnsi="Arial" w:cs="Arial"/>
                <w:b/>
                <w:i/>
                <w:sz w:val="22"/>
                <w:szCs w:val="22"/>
              </w:rPr>
              <w:t>Termine prorogato</w:t>
            </w:r>
          </w:p>
        </w:tc>
        <w:tc>
          <w:tcPr>
            <w:tcW w:w="3226" w:type="dxa"/>
            <w:shd w:val="clear" w:color="auto" w:fill="auto"/>
          </w:tcPr>
          <w:p w:rsidR="00E70D43" w:rsidRPr="00757783" w:rsidRDefault="00E70D43" w:rsidP="004C2993">
            <w:pPr>
              <w:ind w:right="432"/>
              <w:jc w:val="both"/>
              <w:rPr>
                <w:szCs w:val="24"/>
              </w:rPr>
            </w:pPr>
          </w:p>
        </w:tc>
      </w:tr>
      <w:tr w:rsidR="00423F5A" w:rsidTr="00423F5A">
        <w:trPr>
          <w:trHeight w:val="227"/>
        </w:trPr>
        <w:tc>
          <w:tcPr>
            <w:tcW w:w="2552" w:type="dxa"/>
            <w:vMerge w:val="restart"/>
          </w:tcPr>
          <w:p w:rsidR="00423F5A" w:rsidRPr="00E70D43" w:rsidRDefault="00423F5A" w:rsidP="004C2993">
            <w:pPr>
              <w:ind w:right="432"/>
              <w:jc w:val="both"/>
              <w:rPr>
                <w:rFonts w:ascii="Arial" w:hAnsi="Arial" w:cs="Arial"/>
                <w:b/>
                <w:i/>
                <w:sz w:val="22"/>
                <w:szCs w:val="22"/>
              </w:rPr>
            </w:pPr>
            <w:r w:rsidRPr="00E70D43">
              <w:rPr>
                <w:rFonts w:ascii="Arial" w:hAnsi="Arial" w:cs="Arial"/>
                <w:b/>
                <w:i/>
                <w:sz w:val="22"/>
                <w:szCs w:val="22"/>
              </w:rPr>
              <w:t>Esito</w:t>
            </w:r>
          </w:p>
        </w:tc>
        <w:tc>
          <w:tcPr>
            <w:tcW w:w="2126" w:type="dxa"/>
            <w:vMerge w:val="restart"/>
          </w:tcPr>
          <w:p w:rsidR="00423F5A" w:rsidRPr="00757783" w:rsidRDefault="00423F5A" w:rsidP="004C2993">
            <w:pPr>
              <w:ind w:right="432"/>
              <w:jc w:val="both"/>
              <w:rPr>
                <w:szCs w:val="24"/>
              </w:rPr>
            </w:pPr>
          </w:p>
        </w:tc>
        <w:tc>
          <w:tcPr>
            <w:tcW w:w="2126" w:type="dxa"/>
            <w:vMerge w:val="restart"/>
            <w:shd w:val="clear" w:color="auto" w:fill="auto"/>
          </w:tcPr>
          <w:p w:rsidR="00423F5A" w:rsidRPr="00E70D43" w:rsidRDefault="00F726C6" w:rsidP="004C2993">
            <w:pPr>
              <w:ind w:right="432"/>
              <w:jc w:val="both"/>
              <w:rPr>
                <w:rFonts w:ascii="Arial" w:hAnsi="Arial" w:cs="Arial"/>
                <w:b/>
                <w:i/>
                <w:sz w:val="22"/>
                <w:szCs w:val="22"/>
              </w:rPr>
            </w:pPr>
            <w:r>
              <w:rPr>
                <w:rFonts w:ascii="Arial" w:hAnsi="Arial" w:cs="Arial"/>
                <w:b/>
                <w:i/>
                <w:sz w:val="22"/>
                <w:szCs w:val="22"/>
              </w:rPr>
              <w:t>Osservazioni</w:t>
            </w:r>
          </w:p>
        </w:tc>
        <w:tc>
          <w:tcPr>
            <w:tcW w:w="3226" w:type="dxa"/>
            <w:shd w:val="clear" w:color="auto" w:fill="auto"/>
          </w:tcPr>
          <w:p w:rsidR="00423F5A" w:rsidRPr="00F726C6" w:rsidRDefault="00F726C6" w:rsidP="00F726C6">
            <w:pPr>
              <w:ind w:right="432"/>
              <w:jc w:val="both"/>
              <w:rPr>
                <w:szCs w:val="24"/>
              </w:rPr>
            </w:pPr>
            <w:r w:rsidRPr="00F726C6">
              <w:rPr>
                <w:rFonts w:ascii="Arial" w:hAnsi="Arial" w:cs="Arial"/>
                <w:b/>
                <w:i/>
                <w:sz w:val="22"/>
                <w:szCs w:val="22"/>
              </w:rPr>
              <w:t>1</w:t>
            </w:r>
            <w:r w:rsidRPr="00F726C6">
              <w:rPr>
                <w:rFonts w:ascii="Arial" w:hAnsi="Arial" w:cs="Arial"/>
                <w:b/>
                <w:i/>
                <w:sz w:val="22"/>
                <w:szCs w:val="22"/>
                <w:vertAlign w:val="superscript"/>
              </w:rPr>
              <w:t>a</w:t>
            </w:r>
          </w:p>
        </w:tc>
      </w:tr>
      <w:tr w:rsidR="00423F5A" w:rsidTr="00423F5A">
        <w:trPr>
          <w:trHeight w:val="231"/>
        </w:trPr>
        <w:tc>
          <w:tcPr>
            <w:tcW w:w="2552" w:type="dxa"/>
            <w:vMerge/>
          </w:tcPr>
          <w:p w:rsidR="00423F5A" w:rsidRPr="00E70D43" w:rsidRDefault="00423F5A" w:rsidP="004C2993">
            <w:pPr>
              <w:ind w:right="432"/>
              <w:jc w:val="both"/>
              <w:rPr>
                <w:rFonts w:ascii="Arial" w:hAnsi="Arial" w:cs="Arial"/>
                <w:b/>
                <w:i/>
                <w:sz w:val="22"/>
                <w:szCs w:val="22"/>
              </w:rPr>
            </w:pPr>
          </w:p>
        </w:tc>
        <w:tc>
          <w:tcPr>
            <w:tcW w:w="2126" w:type="dxa"/>
            <w:vMerge/>
          </w:tcPr>
          <w:p w:rsidR="00423F5A" w:rsidRPr="00757783" w:rsidRDefault="00423F5A" w:rsidP="004C2993">
            <w:pPr>
              <w:ind w:right="432"/>
              <w:jc w:val="both"/>
              <w:rPr>
                <w:szCs w:val="24"/>
              </w:rPr>
            </w:pPr>
          </w:p>
        </w:tc>
        <w:tc>
          <w:tcPr>
            <w:tcW w:w="2126" w:type="dxa"/>
            <w:vMerge/>
            <w:shd w:val="clear" w:color="auto" w:fill="auto"/>
          </w:tcPr>
          <w:p w:rsidR="00423F5A" w:rsidRPr="00E70D43" w:rsidRDefault="00423F5A" w:rsidP="004C2993">
            <w:pPr>
              <w:ind w:right="432"/>
              <w:jc w:val="both"/>
              <w:rPr>
                <w:rFonts w:ascii="Arial" w:hAnsi="Arial" w:cs="Arial"/>
                <w:b/>
                <w:i/>
                <w:sz w:val="22"/>
                <w:szCs w:val="22"/>
              </w:rPr>
            </w:pPr>
          </w:p>
        </w:tc>
        <w:tc>
          <w:tcPr>
            <w:tcW w:w="3226" w:type="dxa"/>
            <w:shd w:val="clear" w:color="auto" w:fill="auto"/>
          </w:tcPr>
          <w:p w:rsidR="00423F5A" w:rsidRDefault="00423F5A" w:rsidP="004C2993">
            <w:pPr>
              <w:ind w:right="432"/>
              <w:jc w:val="both"/>
              <w:rPr>
                <w:b/>
                <w:szCs w:val="24"/>
              </w:rPr>
            </w:pPr>
          </w:p>
        </w:tc>
      </w:tr>
      <w:tr w:rsidR="002F5A07">
        <w:tc>
          <w:tcPr>
            <w:tcW w:w="10030" w:type="dxa"/>
            <w:gridSpan w:val="4"/>
          </w:tcPr>
          <w:p w:rsidR="002F5A07" w:rsidRPr="00B307F8" w:rsidRDefault="002F5A07" w:rsidP="004C2993">
            <w:pPr>
              <w:ind w:right="432"/>
              <w:jc w:val="both"/>
              <w:rPr>
                <w:i/>
                <w:sz w:val="28"/>
              </w:rPr>
            </w:pPr>
            <w:r>
              <w:rPr>
                <w:rFonts w:ascii="Arial" w:hAnsi="Arial" w:cs="Arial"/>
                <w:b/>
                <w:i/>
                <w:sz w:val="22"/>
                <w:szCs w:val="22"/>
              </w:rPr>
              <w:t>G.U.</w:t>
            </w:r>
          </w:p>
        </w:tc>
      </w:tr>
    </w:tbl>
    <w:p w:rsidR="00E02AE7" w:rsidRDefault="00E02AE7" w:rsidP="004C2993">
      <w:pPr>
        <w:ind w:left="360" w:right="432"/>
        <w:jc w:val="both"/>
        <w:rPr>
          <w:sz w:val="28"/>
        </w:rPr>
      </w:pPr>
    </w:p>
    <w:tbl>
      <w:tblPr>
        <w:tblStyle w:val="Grigliatabella"/>
        <w:tblW w:w="10042" w:type="dxa"/>
        <w:tblInd w:w="-436" w:type="dxa"/>
        <w:tblLook w:val="01E0"/>
      </w:tblPr>
      <w:tblGrid>
        <w:gridCol w:w="3457"/>
        <w:gridCol w:w="3324"/>
        <w:gridCol w:w="3261"/>
      </w:tblGrid>
      <w:tr w:rsidR="00F94EE1" w:rsidRPr="00A575CE">
        <w:tc>
          <w:tcPr>
            <w:tcW w:w="10042" w:type="dxa"/>
            <w:gridSpan w:val="3"/>
            <w:tcBorders>
              <w:top w:val="nil"/>
              <w:left w:val="nil"/>
              <w:bottom w:val="single" w:sz="4" w:space="0" w:color="auto"/>
              <w:right w:val="nil"/>
            </w:tcBorders>
          </w:tcPr>
          <w:p w:rsidR="00F94EE1" w:rsidRPr="00F74C24" w:rsidRDefault="00F94EE1" w:rsidP="00465223">
            <w:pPr>
              <w:ind w:right="34"/>
              <w:jc w:val="center"/>
              <w:rPr>
                <w:i/>
                <w:szCs w:val="24"/>
              </w:rPr>
            </w:pPr>
            <w:r w:rsidRPr="00423903">
              <w:rPr>
                <w:rFonts w:ascii="Arial" w:hAnsi="Arial" w:cs="Arial"/>
                <w:b/>
                <w:i/>
                <w:sz w:val="22"/>
                <w:szCs w:val="22"/>
              </w:rPr>
              <w:t>Senatori intervenuti nel dibattito</w:t>
            </w:r>
          </w:p>
        </w:tc>
      </w:tr>
      <w:tr w:rsidR="00F94EE1" w:rsidRPr="00A575CE">
        <w:trPr>
          <w:trHeight w:val="542"/>
        </w:trPr>
        <w:tc>
          <w:tcPr>
            <w:tcW w:w="3457"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tabs>
                <w:tab w:val="clear" w:pos="720"/>
              </w:tabs>
              <w:ind w:left="318" w:right="-34" w:hanging="318"/>
              <w:jc w:val="both"/>
              <w:rPr>
                <w:szCs w:val="24"/>
              </w:rPr>
            </w:pPr>
          </w:p>
        </w:tc>
        <w:tc>
          <w:tcPr>
            <w:tcW w:w="3324"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tabs>
                <w:tab w:val="clear" w:pos="720"/>
              </w:tabs>
              <w:ind w:left="318" w:right="-108" w:hanging="318"/>
              <w:jc w:val="both"/>
              <w:rPr>
                <w:szCs w:val="24"/>
              </w:rPr>
            </w:pPr>
            <w:r w:rsidRPr="00A575CE">
              <w:rPr>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ind w:left="318" w:right="850" w:hanging="318"/>
              <w:jc w:val="both"/>
              <w:rPr>
                <w:szCs w:val="24"/>
              </w:rPr>
            </w:pPr>
          </w:p>
        </w:tc>
      </w:tr>
    </w:tbl>
    <w:p w:rsidR="00B55573" w:rsidRDefault="00B55573" w:rsidP="00BC74AD">
      <w:pPr>
        <w:ind w:right="432"/>
        <w:jc w:val="both"/>
        <w:rPr>
          <w:b/>
          <w:sz w:val="28"/>
        </w:rPr>
      </w:pPr>
    </w:p>
    <w:p w:rsidR="00B64C3A" w:rsidRDefault="00B64C3A" w:rsidP="00BC0F80">
      <w:pPr>
        <w:ind w:left="-567" w:right="-1"/>
        <w:jc w:val="both"/>
        <w:rPr>
          <w:b/>
          <w:sz w:val="28"/>
        </w:rPr>
      </w:pPr>
    </w:p>
    <w:p w:rsidR="004C2993" w:rsidRPr="00F94EE1" w:rsidRDefault="00235730" w:rsidP="00BC0F80">
      <w:pPr>
        <w:ind w:left="-567" w:right="-1"/>
        <w:jc w:val="both"/>
        <w:rPr>
          <w:sz w:val="28"/>
          <w:u w:val="single"/>
        </w:rPr>
      </w:pPr>
      <w:r w:rsidRPr="00F94EE1">
        <w:rPr>
          <w:rFonts w:ascii="Arial" w:hAnsi="Arial" w:cs="Arial"/>
          <w:b/>
          <w:i/>
          <w:sz w:val="22"/>
          <w:szCs w:val="22"/>
          <w:u w:val="single"/>
        </w:rPr>
        <w:t>Interventi</w:t>
      </w:r>
      <w:r w:rsidR="004C2993" w:rsidRPr="00F94EE1">
        <w:rPr>
          <w:rFonts w:ascii="Arial" w:hAnsi="Arial" w:cs="Arial"/>
          <w:b/>
          <w:i/>
          <w:sz w:val="22"/>
          <w:szCs w:val="22"/>
          <w:u w:val="single"/>
        </w:rPr>
        <w:t xml:space="preserve"> in Commissione</w:t>
      </w:r>
    </w:p>
    <w:p w:rsidR="004C2993" w:rsidRPr="000A61A2" w:rsidRDefault="004C2993" w:rsidP="00BC0F80">
      <w:pPr>
        <w:ind w:left="-567" w:right="-1"/>
        <w:jc w:val="both"/>
        <w:rPr>
          <w:b/>
          <w:i/>
          <w:szCs w:val="24"/>
        </w:rPr>
      </w:pPr>
    </w:p>
    <w:p w:rsidR="00FB140D" w:rsidRDefault="0070589E">
      <w:pPr>
        <w:pStyle w:val="Sommario1"/>
        <w:rPr>
          <w:rFonts w:asciiTheme="minorHAnsi" w:eastAsiaTheme="minorEastAsia" w:hAnsiTheme="minorHAnsi" w:cstheme="minorBidi"/>
          <w:noProof/>
          <w:sz w:val="22"/>
          <w:szCs w:val="22"/>
        </w:rPr>
      </w:pPr>
      <w:r w:rsidRPr="000A61A2">
        <w:rPr>
          <w:i/>
        </w:rPr>
        <w:fldChar w:fldCharType="begin"/>
      </w:r>
      <w:r w:rsidR="004C2993" w:rsidRPr="000A61A2">
        <w:rPr>
          <w:i/>
        </w:rPr>
        <w:instrText xml:space="preserve"> TOC \o "1-2" \h \z \u </w:instrText>
      </w:r>
      <w:r w:rsidRPr="000A61A2">
        <w:rPr>
          <w:i/>
        </w:rPr>
        <w:fldChar w:fldCharType="separate"/>
      </w:r>
      <w:hyperlink w:anchor="_Toc303843792" w:history="1">
        <w:r w:rsidR="00FB140D" w:rsidRPr="008A0634">
          <w:rPr>
            <w:rStyle w:val="Collegamentoipertestuale"/>
            <w:noProof/>
          </w:rPr>
          <w:t>14 SETTEMBRE 2011 (Relazione)</w:t>
        </w:r>
        <w:r w:rsidR="00FB140D">
          <w:rPr>
            <w:noProof/>
            <w:webHidden/>
          </w:rPr>
          <w:tab/>
        </w:r>
        <w:r>
          <w:rPr>
            <w:noProof/>
            <w:webHidden/>
          </w:rPr>
          <w:fldChar w:fldCharType="begin"/>
        </w:r>
        <w:r w:rsidR="00FB140D">
          <w:rPr>
            <w:noProof/>
            <w:webHidden/>
          </w:rPr>
          <w:instrText xml:space="preserve"> PAGEREF _Toc303843792 \h </w:instrText>
        </w:r>
        <w:r>
          <w:rPr>
            <w:noProof/>
            <w:webHidden/>
          </w:rPr>
        </w:r>
        <w:r>
          <w:rPr>
            <w:noProof/>
            <w:webHidden/>
          </w:rPr>
          <w:fldChar w:fldCharType="separate"/>
        </w:r>
        <w:r w:rsidR="00E60145">
          <w:rPr>
            <w:noProof/>
            <w:webHidden/>
          </w:rPr>
          <w:t>2</w:t>
        </w:r>
        <w:r>
          <w:rPr>
            <w:noProof/>
            <w:webHidden/>
          </w:rPr>
          <w:fldChar w:fldCharType="end"/>
        </w:r>
      </w:hyperlink>
    </w:p>
    <w:p w:rsidR="004C2993" w:rsidRPr="00472EB5" w:rsidRDefault="0070589E" w:rsidP="00BC0F80">
      <w:pPr>
        <w:ind w:left="-567" w:right="-1"/>
        <w:jc w:val="both"/>
        <w:rPr>
          <w:i/>
        </w:rPr>
      </w:pPr>
      <w:r w:rsidRPr="000A61A2">
        <w:rPr>
          <w:i/>
          <w:szCs w:val="24"/>
        </w:rPr>
        <w:fldChar w:fldCharType="end"/>
      </w:r>
    </w:p>
    <w:p w:rsidR="004C2993" w:rsidRPr="00472EB5" w:rsidRDefault="004C2993" w:rsidP="004C2993">
      <w:pPr>
        <w:ind w:right="432"/>
        <w:jc w:val="both"/>
        <w:rPr>
          <w:i/>
        </w:rPr>
      </w:pPr>
    </w:p>
    <w:p w:rsidR="00E019B8" w:rsidRDefault="00E019B8">
      <w:pPr>
        <w:jc w:val="both"/>
      </w:pPr>
    </w:p>
    <w:p w:rsidR="00FB140D" w:rsidRDefault="00E672CC" w:rsidP="00FB140D">
      <w:pPr>
        <w:pStyle w:val="Titolo1"/>
      </w:pPr>
      <w:r>
        <w:br w:type="page"/>
      </w:r>
      <w:bookmarkStart w:id="0" w:name="_Toc303843792"/>
      <w:r w:rsidR="00FB140D">
        <w:lastRenderedPageBreak/>
        <w:t>14 SETTEMBRE 2011 (Relazione)</w:t>
      </w:r>
      <w:bookmarkEnd w:id="0"/>
    </w:p>
    <w:p w:rsidR="00FB140D" w:rsidRDefault="00FB140D" w:rsidP="00FB140D">
      <w:pPr>
        <w:autoSpaceDE w:val="0"/>
        <w:autoSpaceDN w:val="0"/>
        <w:adjustRightInd w:val="0"/>
        <w:jc w:val="center"/>
        <w:rPr>
          <w:color w:val="000000"/>
        </w:rPr>
      </w:pPr>
      <w:r>
        <w:rPr>
          <w:b/>
          <w:bCs/>
          <w:color w:val="000000"/>
        </w:rPr>
        <w:t>323ª Seduta</w:t>
      </w:r>
      <w:r>
        <w:rPr>
          <w:color w:val="000000"/>
        </w:rPr>
        <w:t xml:space="preserve"> </w:t>
      </w:r>
    </w:p>
    <w:p w:rsidR="00FB140D" w:rsidRDefault="00FB140D" w:rsidP="00FB140D">
      <w:pPr>
        <w:autoSpaceDE w:val="0"/>
        <w:autoSpaceDN w:val="0"/>
        <w:adjustRightInd w:val="0"/>
        <w:jc w:val="center"/>
        <w:rPr>
          <w:color w:val="000000"/>
        </w:rPr>
      </w:pPr>
      <w:r>
        <w:rPr>
          <w:i/>
          <w:iCs/>
          <w:color w:val="000000"/>
        </w:rPr>
        <w:t>Presidenza del Presidente</w:t>
      </w:r>
      <w:r>
        <w:rPr>
          <w:color w:val="000000"/>
        </w:rPr>
        <w:t xml:space="preserve"> </w:t>
      </w:r>
    </w:p>
    <w:p w:rsidR="00FB140D" w:rsidRDefault="00FB140D" w:rsidP="00FB140D">
      <w:pPr>
        <w:autoSpaceDE w:val="0"/>
        <w:autoSpaceDN w:val="0"/>
        <w:adjustRightInd w:val="0"/>
        <w:jc w:val="center"/>
        <w:rPr>
          <w:color w:val="000000"/>
        </w:rPr>
      </w:pPr>
      <w:r>
        <w:rPr>
          <w:color w:val="000000"/>
        </w:rPr>
        <w:t xml:space="preserve">POSSA  </w:t>
      </w:r>
    </w:p>
    <w:p w:rsidR="00FB140D" w:rsidRDefault="00FB140D" w:rsidP="00FB140D">
      <w:pPr>
        <w:autoSpaceDE w:val="0"/>
        <w:autoSpaceDN w:val="0"/>
        <w:adjustRightInd w:val="0"/>
        <w:jc w:val="both"/>
        <w:rPr>
          <w:i/>
          <w:iCs/>
          <w:color w:val="000000"/>
        </w:rPr>
      </w:pPr>
    </w:p>
    <w:p w:rsidR="00FB140D" w:rsidRDefault="00FB140D" w:rsidP="00FB140D">
      <w:pPr>
        <w:autoSpaceDE w:val="0"/>
        <w:autoSpaceDN w:val="0"/>
        <w:adjustRightInd w:val="0"/>
        <w:jc w:val="both"/>
        <w:rPr>
          <w:color w:val="000000"/>
        </w:rPr>
      </w:pPr>
      <w:r>
        <w:rPr>
          <w:i/>
          <w:iCs/>
          <w:color w:val="000000"/>
        </w:rPr>
        <w:t>IN SEDE CONSULTIVA SU ATTI DEL GOVERNO</w:t>
      </w:r>
      <w:r>
        <w:rPr>
          <w:color w:val="000000"/>
        </w:rPr>
        <w:t xml:space="preserve">  </w:t>
      </w:r>
    </w:p>
    <w:p w:rsidR="00FB140D" w:rsidRDefault="00FB140D" w:rsidP="00FB140D">
      <w:pPr>
        <w:autoSpaceDE w:val="0"/>
        <w:autoSpaceDN w:val="0"/>
        <w:adjustRightInd w:val="0"/>
        <w:jc w:val="both"/>
        <w:rPr>
          <w:color w:val="000000"/>
        </w:rPr>
      </w:pPr>
      <w:r>
        <w:rPr>
          <w:b/>
          <w:bCs/>
          <w:color w:val="000000"/>
        </w:rPr>
        <w:t>Schema di decreto legislativo recante introduzione della contabilità economico-patrimoniale, della contabilità analitica e del bilancio unico nelle università</w:t>
      </w:r>
      <w:r>
        <w:rPr>
          <w:color w:val="000000"/>
        </w:rPr>
        <w:t xml:space="preserve"> </w:t>
      </w:r>
      <w:r>
        <w:rPr>
          <w:b/>
          <w:bCs/>
          <w:color w:val="000000"/>
        </w:rPr>
        <w:t>(n. 395)</w:t>
      </w:r>
      <w:r>
        <w:rPr>
          <w:color w:val="000000"/>
        </w:rPr>
        <w:t xml:space="preserve">  </w:t>
      </w:r>
    </w:p>
    <w:p w:rsidR="00FB140D" w:rsidRDefault="00FB140D" w:rsidP="00FB140D">
      <w:pPr>
        <w:autoSpaceDE w:val="0"/>
        <w:autoSpaceDN w:val="0"/>
        <w:adjustRightInd w:val="0"/>
        <w:jc w:val="both"/>
        <w:rPr>
          <w:color w:val="000000"/>
        </w:rPr>
      </w:pPr>
      <w:r>
        <w:rPr>
          <w:color w:val="000000"/>
        </w:rPr>
        <w:t xml:space="preserve">(Parere al Ministro per i rapporti con il Parlamento, ai sensi dell'articolo 5, commi 1, lettera b), 4, lettera a), e 7, della legge 30 dicembre 2010, n. 240. Esame e rinvio) </w:t>
      </w:r>
    </w:p>
    <w:p w:rsidR="00FB140D" w:rsidRDefault="00FB140D" w:rsidP="00FB140D">
      <w:pPr>
        <w:autoSpaceDE w:val="0"/>
        <w:autoSpaceDN w:val="0"/>
        <w:adjustRightInd w:val="0"/>
        <w:jc w:val="both"/>
        <w:rPr>
          <w:color w:val="000000"/>
        </w:rPr>
      </w:pPr>
      <w:r>
        <w:rPr>
          <w:color w:val="000000"/>
        </w:rPr>
        <w:t xml:space="preserve"> </w:t>
      </w:r>
      <w:r>
        <w:rPr>
          <w:color w:val="000000"/>
        </w:rPr>
        <w:tab/>
      </w:r>
    </w:p>
    <w:p w:rsidR="00FB140D" w:rsidRDefault="00FB140D" w:rsidP="00FB140D">
      <w:pPr>
        <w:autoSpaceDE w:val="0"/>
        <w:autoSpaceDN w:val="0"/>
        <w:adjustRightInd w:val="0"/>
        <w:jc w:val="both"/>
        <w:rPr>
          <w:color w:val="000000"/>
        </w:rPr>
      </w:pPr>
      <w:r>
        <w:rPr>
          <w:color w:val="000000"/>
        </w:rPr>
        <w:tab/>
        <w:t>Riferisce alla Commissione il presidente relatore POSSA (</w:t>
      </w:r>
      <w:proofErr w:type="spellStart"/>
      <w:r>
        <w:rPr>
          <w:i/>
          <w:iCs/>
          <w:color w:val="000000"/>
        </w:rPr>
        <w:t>PdL</w:t>
      </w:r>
      <w:proofErr w:type="spellEnd"/>
      <w:r>
        <w:rPr>
          <w:color w:val="000000"/>
        </w:rPr>
        <w:t xml:space="preserve">), il quale osserva in primo luogo che lo schema di decreto legislativo in titolo dà attuazione alla delega recata dall'articolo 5, comma 1, lettera </w:t>
      </w:r>
      <w:r>
        <w:rPr>
          <w:i/>
          <w:iCs/>
          <w:color w:val="000000"/>
        </w:rPr>
        <w:t>b</w:t>
      </w:r>
      <w:r>
        <w:rPr>
          <w:color w:val="000000"/>
        </w:rPr>
        <w:t xml:space="preserve">), della legge n. 240 del 2010. Tuttavia, dei principi e criteri direttivi recati dal successivo comma 4, esso recepisce solo quelli contenuti nella lettera </w:t>
      </w:r>
      <w:r>
        <w:rPr>
          <w:i/>
          <w:iCs/>
          <w:color w:val="000000"/>
        </w:rPr>
        <w:t>a</w:t>
      </w:r>
      <w:r>
        <w:rPr>
          <w:color w:val="000000"/>
        </w:rPr>
        <w:t xml:space="preserve">), mentre non v'è traccia di quelli dettati nelle successive lettere da </w:t>
      </w:r>
      <w:r>
        <w:rPr>
          <w:i/>
          <w:iCs/>
          <w:color w:val="000000"/>
        </w:rPr>
        <w:t>b</w:t>
      </w:r>
      <w:r>
        <w:rPr>
          <w:color w:val="000000"/>
        </w:rPr>
        <w:t xml:space="preserve">) a </w:t>
      </w:r>
      <w:r>
        <w:rPr>
          <w:i/>
          <w:iCs/>
          <w:color w:val="000000"/>
        </w:rPr>
        <w:t>f</w:t>
      </w:r>
      <w:r>
        <w:rPr>
          <w:color w:val="000000"/>
        </w:rPr>
        <w:t xml:space="preserve">). In particolare, non è menzionata l'adozione di un piano economico finanziario triennale volto a garantire la sostenibilità di tutte le attività dell'ateneo, né la predisposizione di un piano triennale di riequilibrio dei rapporti di consistenza del personale docente, ricercatore e tecnico amministrativo, nonché il numero dei professori ricercatori. Analogamente, manca ancora la determinazione di un limite massimo all'incidenza complessiva delle spese per l'indebitamento e per il personale sulle entrate complessive dell'ateneo, che dovrà a regime sostituire l'attuale parametro del 90 per cento delle spese del personale sui trasferimenti a valore sul Fondo di finanziamento ordinario delle università (FFO), ai fini della individuazione delle università virtuose. Infine, non è ancora definito il costo </w:t>
      </w:r>
      <w:r>
        <w:rPr>
          <w:i/>
          <w:iCs/>
          <w:color w:val="000000"/>
        </w:rPr>
        <w:t>standard</w:t>
      </w:r>
      <w:r>
        <w:rPr>
          <w:color w:val="000000"/>
        </w:rPr>
        <w:t xml:space="preserve"> unitario per la formazione di studenti in corso.</w:t>
      </w:r>
    </w:p>
    <w:p w:rsidR="00FB140D" w:rsidRDefault="00FB140D" w:rsidP="00FB140D">
      <w:pPr>
        <w:autoSpaceDE w:val="0"/>
        <w:autoSpaceDN w:val="0"/>
        <w:adjustRightInd w:val="0"/>
        <w:ind w:firstLine="708"/>
        <w:jc w:val="both"/>
        <w:rPr>
          <w:color w:val="000000"/>
        </w:rPr>
      </w:pPr>
      <w:r>
        <w:rPr>
          <w:color w:val="000000"/>
        </w:rPr>
        <w:t xml:space="preserve">A tali profili sarà evidentemente dedicato - rileva il Presidente relatore - un distinto decreto legislativo. </w:t>
      </w:r>
    </w:p>
    <w:p w:rsidR="00FB140D" w:rsidRDefault="00FB140D" w:rsidP="00FB140D">
      <w:pPr>
        <w:autoSpaceDE w:val="0"/>
        <w:autoSpaceDN w:val="0"/>
        <w:adjustRightInd w:val="0"/>
        <w:ind w:firstLine="708"/>
        <w:jc w:val="both"/>
        <w:rPr>
          <w:color w:val="000000"/>
        </w:rPr>
      </w:pPr>
      <w:r>
        <w:rPr>
          <w:color w:val="000000"/>
        </w:rPr>
        <w:t xml:space="preserve">Egli illustra quindi nel dettaglio l'articolato del provvedimento in titolo. L'articolo 1 detta i contenuti del sistema di contabilità economico-patrimoniale prevedendo il bilancio unico di ateneo di previsione, annuale e </w:t>
      </w:r>
      <w:proofErr w:type="spellStart"/>
      <w:r>
        <w:rPr>
          <w:color w:val="000000"/>
        </w:rPr>
        <w:t>autorizzatorio</w:t>
      </w:r>
      <w:proofErr w:type="spellEnd"/>
      <w:r>
        <w:rPr>
          <w:color w:val="000000"/>
        </w:rPr>
        <w:t xml:space="preserve">, il bilancio unico di ateneo di esercizio e il bilancio consolidato. Quanto al primo, il Presidente relatore ne sottolinea il carattere annuale ed </w:t>
      </w:r>
      <w:proofErr w:type="spellStart"/>
      <w:r>
        <w:rPr>
          <w:color w:val="000000"/>
        </w:rPr>
        <w:t>autorizzatorio</w:t>
      </w:r>
      <w:proofErr w:type="spellEnd"/>
      <w:r>
        <w:rPr>
          <w:color w:val="000000"/>
        </w:rPr>
        <w:t>, precisando che esso dovrà essere unico per tutto l'ateneo. Quanto al secondo, chiarisce che esso sarà composto da stato patrimoniale, conto economico, rendiconto finanziario e nota integrativa e sarà corredato da una relazione sulla gestione. Il bilancio consolidato con le proprie aziende sarà invece composto solo da stato patrimoniale, conto economico e nota integrativa.</w:t>
      </w:r>
    </w:p>
    <w:p w:rsidR="00FB140D" w:rsidRDefault="00FB140D" w:rsidP="00FB140D">
      <w:pPr>
        <w:autoSpaceDE w:val="0"/>
        <w:autoSpaceDN w:val="0"/>
        <w:adjustRightInd w:val="0"/>
        <w:jc w:val="both"/>
        <w:rPr>
          <w:color w:val="000000"/>
        </w:rPr>
      </w:pPr>
      <w:r>
        <w:rPr>
          <w:color w:val="000000"/>
        </w:rPr>
        <w:tab/>
        <w:t>L'articolo 2 dispone che, per l'elaborazione di questi tre bilanci, le università si attengano a principi contabili e schemi di bilancio stabiliti ed aggiornati con decreto ministeriale. Al riguardo, il Presidente relatore pone in luce che si tratta del primo atto di normazione secondaria previsto dall'atto in titolo, su un totale di cinque.</w:t>
      </w:r>
    </w:p>
    <w:p w:rsidR="00FB140D" w:rsidRDefault="00FB140D" w:rsidP="00FB140D">
      <w:pPr>
        <w:autoSpaceDE w:val="0"/>
        <w:autoSpaceDN w:val="0"/>
        <w:adjustRightInd w:val="0"/>
        <w:jc w:val="both"/>
        <w:rPr>
          <w:color w:val="000000"/>
        </w:rPr>
      </w:pPr>
      <w:r>
        <w:rPr>
          <w:color w:val="000000"/>
        </w:rPr>
        <w:tab/>
        <w:t xml:space="preserve">Quanto all'articolo 3, esso stabilisce l'obbligo per le università di adottare la tassonomia per la riclassificazione dei dati contabili. </w:t>
      </w:r>
    </w:p>
    <w:p w:rsidR="00FB140D" w:rsidRDefault="00FB140D" w:rsidP="00FB140D">
      <w:pPr>
        <w:autoSpaceDE w:val="0"/>
        <w:autoSpaceDN w:val="0"/>
        <w:adjustRightInd w:val="0"/>
        <w:jc w:val="both"/>
        <w:rPr>
          <w:color w:val="000000"/>
        </w:rPr>
      </w:pPr>
      <w:r>
        <w:rPr>
          <w:color w:val="000000"/>
        </w:rPr>
        <w:tab/>
        <w:t xml:space="preserve">L'articolo 4 dispone che il bilancio unico di previsione, annuale e </w:t>
      </w:r>
      <w:proofErr w:type="spellStart"/>
      <w:r>
        <w:rPr>
          <w:color w:val="000000"/>
        </w:rPr>
        <w:t>autorizzatorio</w:t>
      </w:r>
      <w:proofErr w:type="spellEnd"/>
      <w:r>
        <w:rPr>
          <w:color w:val="000000"/>
        </w:rPr>
        <w:t>, e il bilancio unico di esercizio rechino in allegato la classificazione della spesa complessiva per missioni e programmi, dando altresì una puntuale definizione di tali due concetti. L'elenco delle missioni e dei programmi, nonché i criteri cui le università si attengono ai fini di una omogenea riclassificazione dei dati contabili, saranno stabiliti con il secondo decreto ministeriale previsto dalla schema di decreto legislativo.</w:t>
      </w:r>
    </w:p>
    <w:p w:rsidR="00FB140D" w:rsidRDefault="00FB140D" w:rsidP="00FB140D">
      <w:pPr>
        <w:autoSpaceDE w:val="0"/>
        <w:autoSpaceDN w:val="0"/>
        <w:adjustRightInd w:val="0"/>
        <w:jc w:val="both"/>
        <w:rPr>
          <w:color w:val="000000"/>
        </w:rPr>
      </w:pPr>
      <w:r>
        <w:rPr>
          <w:color w:val="000000"/>
        </w:rPr>
        <w:tab/>
        <w:t xml:space="preserve">L'articolo 5 definisce nel dettaglio il bilancio unico di ateneo di previsione annuale e il bilancio unico di ateneo di esercizio. Il primo deve essere predisposto entro il 31 dicembre dell'anno precedente ed essere strutturato, in coerenza con l'articolazione organizzativa delle </w:t>
      </w:r>
      <w:r>
        <w:rPr>
          <w:color w:val="000000"/>
        </w:rPr>
        <w:lastRenderedPageBreak/>
        <w:t xml:space="preserve">università, in centri di responsabilità dotati di autonomia gestionale, ai quali è attribuito un </w:t>
      </w:r>
      <w:r>
        <w:rPr>
          <w:i/>
          <w:iCs/>
          <w:color w:val="000000"/>
        </w:rPr>
        <w:t>budget</w:t>
      </w:r>
      <w:r>
        <w:rPr>
          <w:color w:val="000000"/>
        </w:rPr>
        <w:t xml:space="preserve"> economico e degli investimenti </w:t>
      </w:r>
      <w:proofErr w:type="spellStart"/>
      <w:r>
        <w:rPr>
          <w:color w:val="000000"/>
        </w:rPr>
        <w:t>autorizzatorio</w:t>
      </w:r>
      <w:proofErr w:type="spellEnd"/>
      <w:r>
        <w:rPr>
          <w:color w:val="000000"/>
        </w:rPr>
        <w:t>. Il bilancio unico di ateneo di esercizio deve invece essere approvato entro il 30 aprile di ciascun anno. L'approvazione di tali atti compete, per le università statali, al consiglio di amministrazione, su proposta del rettore, previo parere del senato accademico per gli aspetti di competenza.</w:t>
      </w:r>
    </w:p>
    <w:p w:rsidR="00FB140D" w:rsidRDefault="00FB140D" w:rsidP="00FB140D">
      <w:pPr>
        <w:autoSpaceDE w:val="0"/>
        <w:autoSpaceDN w:val="0"/>
        <w:adjustRightInd w:val="0"/>
        <w:jc w:val="both"/>
        <w:rPr>
          <w:color w:val="000000"/>
        </w:rPr>
      </w:pPr>
      <w:r>
        <w:rPr>
          <w:color w:val="000000"/>
        </w:rPr>
        <w:tab/>
        <w:t xml:space="preserve">L'articolo 6 specifica i contorni del bilancio consolidato, chiarendo che l'area di consolidamento è costituita dalle fonazioni universitarie, dalle società di capitali controllate, dagli altri enti nei quali l'università esercita la maggioranza di voti nell'assemblea dei soci e dagli altri enti in cui le università nominano la maggioranza dei componenti degli organi di amministrazione. Tale articolo rinvia al terzo decreto ministeriale dello schema di decreto legislativo, per la definizione e l'aggiornamento dei principi contabili di consolidamento. </w:t>
      </w:r>
    </w:p>
    <w:p w:rsidR="00FB140D" w:rsidRDefault="00FB140D" w:rsidP="00FB140D">
      <w:pPr>
        <w:autoSpaceDE w:val="0"/>
        <w:autoSpaceDN w:val="0"/>
        <w:adjustRightInd w:val="0"/>
        <w:jc w:val="both"/>
        <w:rPr>
          <w:color w:val="000000"/>
        </w:rPr>
      </w:pPr>
      <w:r>
        <w:rPr>
          <w:color w:val="000000"/>
        </w:rPr>
        <w:tab/>
        <w:t xml:space="preserve">L'articolo 7 fissa al 1° gennaio 2014 il termine ultimo entro cui le università devono adottare il sistema di contabilità economico-patrimoniale, il bilancio unico e le procedure di contabilità analitica. Sono peraltro previste quote premiali per le università che si adeguino in anticipo. </w:t>
      </w:r>
    </w:p>
    <w:p w:rsidR="00FB140D" w:rsidRDefault="00FB140D" w:rsidP="00FB140D">
      <w:pPr>
        <w:autoSpaceDE w:val="0"/>
        <w:autoSpaceDN w:val="0"/>
        <w:adjustRightInd w:val="0"/>
        <w:jc w:val="both"/>
        <w:rPr>
          <w:color w:val="000000"/>
        </w:rPr>
      </w:pPr>
      <w:r>
        <w:rPr>
          <w:color w:val="000000"/>
        </w:rPr>
        <w:tab/>
        <w:t>L'articolo 8 detta obblighi di trasparenza.</w:t>
      </w:r>
    </w:p>
    <w:p w:rsidR="00FB140D" w:rsidRDefault="00FB140D" w:rsidP="00FB140D">
      <w:pPr>
        <w:autoSpaceDE w:val="0"/>
        <w:autoSpaceDN w:val="0"/>
        <w:adjustRightInd w:val="0"/>
        <w:jc w:val="both"/>
        <w:rPr>
          <w:color w:val="000000"/>
        </w:rPr>
      </w:pPr>
      <w:r>
        <w:rPr>
          <w:color w:val="000000"/>
        </w:rPr>
        <w:tab/>
        <w:t xml:space="preserve">L'articolo 9 istituisce, senza oneri a carico della finanza pubblica, una commissione per la contabilità economico-patrimoniale delle università, con compiti di aggiornamento e monitoraggio. Il comma 3 di tale articolo reca norme sulla composizione dell'organo, senza tuttavia definirne con precisione il numero dei componenti. </w:t>
      </w:r>
    </w:p>
    <w:p w:rsidR="00FB140D" w:rsidRDefault="00FB140D" w:rsidP="00FB140D">
      <w:pPr>
        <w:autoSpaceDE w:val="0"/>
        <w:autoSpaceDN w:val="0"/>
        <w:adjustRightInd w:val="0"/>
        <w:jc w:val="both"/>
        <w:rPr>
          <w:color w:val="000000"/>
        </w:rPr>
      </w:pPr>
      <w:r>
        <w:rPr>
          <w:color w:val="000000"/>
        </w:rPr>
        <w:tab/>
        <w:t>L'articolo 10 reca norme transitorie, mentre l'articolo 11 dispone le abrogazioni.</w:t>
      </w:r>
    </w:p>
    <w:p w:rsidR="00FB140D" w:rsidRDefault="00FB140D" w:rsidP="00FB140D">
      <w:pPr>
        <w:autoSpaceDE w:val="0"/>
        <w:autoSpaceDN w:val="0"/>
        <w:adjustRightInd w:val="0"/>
        <w:jc w:val="both"/>
        <w:rPr>
          <w:color w:val="000000"/>
        </w:rPr>
      </w:pPr>
      <w:r>
        <w:rPr>
          <w:color w:val="000000"/>
        </w:rPr>
        <w:tab/>
        <w:t xml:space="preserve">In conclusione, il Presidente relatore ritiene che il provvedimento arricchisca le università di modalità gestionali moderne che ne faciliteranno senz'altro l'attività. Ribadisce tuttavia che si tratta di un'attuazione solo parziale della delega recata dall'articolo 5, comma 1, lettera </w:t>
      </w:r>
      <w:r>
        <w:rPr>
          <w:i/>
          <w:iCs/>
          <w:color w:val="000000"/>
        </w:rPr>
        <w:t>b),</w:t>
      </w:r>
      <w:r>
        <w:rPr>
          <w:color w:val="000000"/>
        </w:rPr>
        <w:t xml:space="preserve"> della legge n. 240 del 2010. </w:t>
      </w:r>
    </w:p>
    <w:p w:rsidR="00FB140D" w:rsidRDefault="00FB140D" w:rsidP="00FB140D">
      <w:pPr>
        <w:autoSpaceDE w:val="0"/>
        <w:autoSpaceDN w:val="0"/>
        <w:adjustRightInd w:val="0"/>
        <w:jc w:val="both"/>
        <w:rPr>
          <w:color w:val="000000"/>
        </w:rPr>
      </w:pPr>
    </w:p>
    <w:p w:rsidR="00A47AF3" w:rsidRPr="00FB140D" w:rsidRDefault="00FB140D" w:rsidP="00FB140D">
      <w:pPr>
        <w:autoSpaceDE w:val="0"/>
        <w:autoSpaceDN w:val="0"/>
        <w:adjustRightInd w:val="0"/>
        <w:jc w:val="both"/>
        <w:rPr>
          <w:color w:val="000000"/>
        </w:rPr>
      </w:pPr>
      <w:r>
        <w:rPr>
          <w:color w:val="000000"/>
        </w:rPr>
        <w:tab/>
        <w:t>Il seguito dell'esame è rinviato.</w:t>
      </w:r>
    </w:p>
    <w:sectPr w:rsidR="00A47AF3" w:rsidRPr="00FB140D" w:rsidSect="00425018">
      <w:headerReference w:type="even" r:id="rId9"/>
      <w:footerReference w:type="even" r:id="rId10"/>
      <w:footerReference w:type="default" r:id="rId11"/>
      <w:footerReference w:type="first" r:id="rId12"/>
      <w:pgSz w:w="11907" w:h="16840"/>
      <w:pgMar w:top="1418" w:right="1134" w:bottom="1134"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71F" w:rsidRDefault="0067171F" w:rsidP="00A47AF3">
      <w:r>
        <w:separator/>
      </w:r>
    </w:p>
  </w:endnote>
  <w:endnote w:type="continuationSeparator" w:id="0">
    <w:p w:rsidR="0067171F" w:rsidRDefault="0067171F" w:rsidP="00A47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C6" w:rsidRDefault="0070589E" w:rsidP="00A068AC">
    <w:pPr>
      <w:pStyle w:val="Pidipagina"/>
      <w:framePr w:wrap="around" w:vAnchor="text" w:hAnchor="margin" w:xAlign="right" w:y="1"/>
      <w:rPr>
        <w:rStyle w:val="Numeropagina"/>
      </w:rPr>
    </w:pPr>
    <w:r>
      <w:rPr>
        <w:rStyle w:val="Numeropagina"/>
      </w:rPr>
      <w:fldChar w:fldCharType="begin"/>
    </w:r>
    <w:r w:rsidR="00F726C6">
      <w:rPr>
        <w:rStyle w:val="Numeropagina"/>
      </w:rPr>
      <w:instrText xml:space="preserve">PAGE  </w:instrText>
    </w:r>
    <w:r>
      <w:rPr>
        <w:rStyle w:val="Numeropagina"/>
      </w:rPr>
      <w:fldChar w:fldCharType="end"/>
    </w:r>
  </w:p>
  <w:p w:rsidR="00F726C6" w:rsidRDefault="00F726C6" w:rsidP="00A068A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C6" w:rsidRDefault="0070589E" w:rsidP="00A068AC">
    <w:pPr>
      <w:pStyle w:val="Pidipagina"/>
      <w:framePr w:wrap="around" w:vAnchor="text" w:hAnchor="margin" w:xAlign="right" w:y="1"/>
      <w:rPr>
        <w:rStyle w:val="Numeropagina"/>
      </w:rPr>
    </w:pPr>
    <w:r>
      <w:rPr>
        <w:rStyle w:val="Numeropagina"/>
      </w:rPr>
      <w:fldChar w:fldCharType="begin"/>
    </w:r>
    <w:r w:rsidR="00F726C6">
      <w:rPr>
        <w:rStyle w:val="Numeropagina"/>
      </w:rPr>
      <w:instrText xml:space="preserve">PAGE  </w:instrText>
    </w:r>
    <w:r>
      <w:rPr>
        <w:rStyle w:val="Numeropagina"/>
      </w:rPr>
      <w:fldChar w:fldCharType="separate"/>
    </w:r>
    <w:r w:rsidR="008C3281">
      <w:rPr>
        <w:rStyle w:val="Numeropagina"/>
        <w:noProof/>
      </w:rPr>
      <w:t>3</w:t>
    </w:r>
    <w:r>
      <w:rPr>
        <w:rStyle w:val="Numeropagina"/>
      </w:rPr>
      <w:fldChar w:fldCharType="end"/>
    </w:r>
  </w:p>
  <w:p w:rsidR="00F726C6" w:rsidRDefault="00F726C6" w:rsidP="00A068AC">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410"/>
      <w:docPartObj>
        <w:docPartGallery w:val="Page Numbers (Bottom of Page)"/>
        <w:docPartUnique/>
      </w:docPartObj>
    </w:sdtPr>
    <w:sdtContent>
      <w:p w:rsidR="00425018" w:rsidRDefault="0070589E">
        <w:pPr>
          <w:pStyle w:val="Pidipagina"/>
          <w:jc w:val="center"/>
        </w:pPr>
        <w:fldSimple w:instr=" PAGE   \* MERGEFORMAT ">
          <w:r w:rsidR="00425018">
            <w:rPr>
              <w:noProof/>
            </w:rPr>
            <w:t>1</w:t>
          </w:r>
        </w:fldSimple>
      </w:p>
    </w:sdtContent>
  </w:sdt>
  <w:p w:rsidR="00425018" w:rsidRDefault="004250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71F" w:rsidRDefault="0067171F" w:rsidP="00A47AF3">
      <w:r>
        <w:separator/>
      </w:r>
    </w:p>
  </w:footnote>
  <w:footnote w:type="continuationSeparator" w:id="0">
    <w:p w:rsidR="0067171F" w:rsidRDefault="0067171F" w:rsidP="00A47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C6" w:rsidRDefault="0070589E" w:rsidP="00E4126F">
    <w:pPr>
      <w:pStyle w:val="Intestazione"/>
      <w:framePr w:wrap="around" w:vAnchor="text" w:hAnchor="margin" w:xAlign="center" w:y="1"/>
      <w:rPr>
        <w:rStyle w:val="Numeropagina"/>
      </w:rPr>
    </w:pPr>
    <w:r>
      <w:rPr>
        <w:rStyle w:val="Numeropagina"/>
      </w:rPr>
      <w:fldChar w:fldCharType="begin"/>
    </w:r>
    <w:r w:rsidR="00F726C6">
      <w:rPr>
        <w:rStyle w:val="Numeropagina"/>
      </w:rPr>
      <w:instrText xml:space="preserve">PAGE  </w:instrText>
    </w:r>
    <w:r>
      <w:rPr>
        <w:rStyle w:val="Numeropagina"/>
      </w:rPr>
      <w:fldChar w:fldCharType="end"/>
    </w:r>
  </w:p>
  <w:p w:rsidR="00F726C6" w:rsidRDefault="00F726C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648BD"/>
    <w:multiLevelType w:val="hybridMultilevel"/>
    <w:tmpl w:val="6C1E4A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3212F"/>
    <w:rsid w:val="00016314"/>
    <w:rsid w:val="0002684E"/>
    <w:rsid w:val="000414FE"/>
    <w:rsid w:val="0005023D"/>
    <w:rsid w:val="00072B95"/>
    <w:rsid w:val="000A2928"/>
    <w:rsid w:val="000A61A2"/>
    <w:rsid w:val="000B38B9"/>
    <w:rsid w:val="000D1811"/>
    <w:rsid w:val="000D6C97"/>
    <w:rsid w:val="00114D29"/>
    <w:rsid w:val="00181E5B"/>
    <w:rsid w:val="001959B0"/>
    <w:rsid w:val="001E7BF0"/>
    <w:rsid w:val="00235730"/>
    <w:rsid w:val="00280E7A"/>
    <w:rsid w:val="002814A4"/>
    <w:rsid w:val="002A4487"/>
    <w:rsid w:val="002F5A07"/>
    <w:rsid w:val="00306EAA"/>
    <w:rsid w:val="00314A2D"/>
    <w:rsid w:val="00320762"/>
    <w:rsid w:val="00345EB4"/>
    <w:rsid w:val="004039B5"/>
    <w:rsid w:val="0040609F"/>
    <w:rsid w:val="00413A68"/>
    <w:rsid w:val="00423F5A"/>
    <w:rsid w:val="00425018"/>
    <w:rsid w:val="00453B20"/>
    <w:rsid w:val="00465223"/>
    <w:rsid w:val="00485C55"/>
    <w:rsid w:val="004877A2"/>
    <w:rsid w:val="004A6791"/>
    <w:rsid w:val="004C036C"/>
    <w:rsid w:val="004C2993"/>
    <w:rsid w:val="004D2FF3"/>
    <w:rsid w:val="004D4A11"/>
    <w:rsid w:val="004F4AAB"/>
    <w:rsid w:val="004F68F7"/>
    <w:rsid w:val="005612AE"/>
    <w:rsid w:val="005A46CF"/>
    <w:rsid w:val="005B062A"/>
    <w:rsid w:val="005B39B2"/>
    <w:rsid w:val="005D392B"/>
    <w:rsid w:val="005D6AC1"/>
    <w:rsid w:val="006116A6"/>
    <w:rsid w:val="00615A10"/>
    <w:rsid w:val="00644CE0"/>
    <w:rsid w:val="00652904"/>
    <w:rsid w:val="0067171F"/>
    <w:rsid w:val="00681EE4"/>
    <w:rsid w:val="006907E2"/>
    <w:rsid w:val="006B5400"/>
    <w:rsid w:val="006E0B54"/>
    <w:rsid w:val="006E6D4C"/>
    <w:rsid w:val="006F6776"/>
    <w:rsid w:val="0070589E"/>
    <w:rsid w:val="00724DD5"/>
    <w:rsid w:val="007316CF"/>
    <w:rsid w:val="00731C37"/>
    <w:rsid w:val="007438A1"/>
    <w:rsid w:val="00744B49"/>
    <w:rsid w:val="00757783"/>
    <w:rsid w:val="0079117F"/>
    <w:rsid w:val="007A4B5A"/>
    <w:rsid w:val="007C0CFA"/>
    <w:rsid w:val="00813B07"/>
    <w:rsid w:val="00820B94"/>
    <w:rsid w:val="00822A33"/>
    <w:rsid w:val="00826951"/>
    <w:rsid w:val="00854E3F"/>
    <w:rsid w:val="00875E6D"/>
    <w:rsid w:val="00876701"/>
    <w:rsid w:val="00882341"/>
    <w:rsid w:val="008B3002"/>
    <w:rsid w:val="008C3281"/>
    <w:rsid w:val="008D1C7E"/>
    <w:rsid w:val="008F29AA"/>
    <w:rsid w:val="008F2C97"/>
    <w:rsid w:val="008F7F74"/>
    <w:rsid w:val="00910D97"/>
    <w:rsid w:val="009141B1"/>
    <w:rsid w:val="00926657"/>
    <w:rsid w:val="00933D6E"/>
    <w:rsid w:val="00942AC8"/>
    <w:rsid w:val="0096763C"/>
    <w:rsid w:val="00972C44"/>
    <w:rsid w:val="009738D1"/>
    <w:rsid w:val="00993A96"/>
    <w:rsid w:val="009A6F9F"/>
    <w:rsid w:val="009B1D5B"/>
    <w:rsid w:val="009B39A0"/>
    <w:rsid w:val="009E20C2"/>
    <w:rsid w:val="00A02B88"/>
    <w:rsid w:val="00A068AC"/>
    <w:rsid w:val="00A27F0B"/>
    <w:rsid w:val="00A47AF3"/>
    <w:rsid w:val="00A52E67"/>
    <w:rsid w:val="00A770F2"/>
    <w:rsid w:val="00A86B16"/>
    <w:rsid w:val="00A91E89"/>
    <w:rsid w:val="00A972E4"/>
    <w:rsid w:val="00AA1392"/>
    <w:rsid w:val="00B24B6E"/>
    <w:rsid w:val="00B307F8"/>
    <w:rsid w:val="00B554BB"/>
    <w:rsid w:val="00B55573"/>
    <w:rsid w:val="00B64C3A"/>
    <w:rsid w:val="00B9416B"/>
    <w:rsid w:val="00BA24FB"/>
    <w:rsid w:val="00BA73CF"/>
    <w:rsid w:val="00BC0F80"/>
    <w:rsid w:val="00BC74AD"/>
    <w:rsid w:val="00BE3B85"/>
    <w:rsid w:val="00BE40F5"/>
    <w:rsid w:val="00BF58CE"/>
    <w:rsid w:val="00C001B0"/>
    <w:rsid w:val="00C20D89"/>
    <w:rsid w:val="00C21DEF"/>
    <w:rsid w:val="00C442A6"/>
    <w:rsid w:val="00C7366A"/>
    <w:rsid w:val="00C751E5"/>
    <w:rsid w:val="00CC4046"/>
    <w:rsid w:val="00CC6960"/>
    <w:rsid w:val="00CD024D"/>
    <w:rsid w:val="00CD63F2"/>
    <w:rsid w:val="00CF024C"/>
    <w:rsid w:val="00CF2EB5"/>
    <w:rsid w:val="00D0317C"/>
    <w:rsid w:val="00D1467C"/>
    <w:rsid w:val="00D31610"/>
    <w:rsid w:val="00D3212F"/>
    <w:rsid w:val="00D363BD"/>
    <w:rsid w:val="00D5421C"/>
    <w:rsid w:val="00D57F56"/>
    <w:rsid w:val="00D9465A"/>
    <w:rsid w:val="00DC2D0E"/>
    <w:rsid w:val="00DC4CD9"/>
    <w:rsid w:val="00E019B8"/>
    <w:rsid w:val="00E02AE7"/>
    <w:rsid w:val="00E0674F"/>
    <w:rsid w:val="00E202AF"/>
    <w:rsid w:val="00E2504B"/>
    <w:rsid w:val="00E319C7"/>
    <w:rsid w:val="00E4126F"/>
    <w:rsid w:val="00E60145"/>
    <w:rsid w:val="00E672CC"/>
    <w:rsid w:val="00E67FCC"/>
    <w:rsid w:val="00E70D43"/>
    <w:rsid w:val="00E8610A"/>
    <w:rsid w:val="00E94A0C"/>
    <w:rsid w:val="00EC626E"/>
    <w:rsid w:val="00ED2530"/>
    <w:rsid w:val="00ED6811"/>
    <w:rsid w:val="00F0017F"/>
    <w:rsid w:val="00F568D9"/>
    <w:rsid w:val="00F726C6"/>
    <w:rsid w:val="00F94EE1"/>
    <w:rsid w:val="00FB140D"/>
    <w:rsid w:val="00FE4A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530"/>
    <w:rPr>
      <w:sz w:val="24"/>
    </w:rPr>
  </w:style>
  <w:style w:type="paragraph" w:styleId="Titolo1">
    <w:name w:val="heading 1"/>
    <w:basedOn w:val="Normale"/>
    <w:next w:val="Normale"/>
    <w:link w:val="Titolo1Carattere"/>
    <w:autoRedefine/>
    <w:qFormat/>
    <w:rsid w:val="000414FE"/>
    <w:pPr>
      <w:jc w:val="center"/>
      <w:outlineLvl w:val="0"/>
    </w:pPr>
  </w:style>
  <w:style w:type="paragraph" w:styleId="Titolo2">
    <w:name w:val="heading 2"/>
    <w:basedOn w:val="Normale"/>
    <w:next w:val="Normale"/>
    <w:qFormat/>
    <w:rsid w:val="00ED2530"/>
    <w:pPr>
      <w:keepNext/>
      <w:ind w:left="284" w:right="432"/>
      <w:jc w:val="both"/>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8B3002"/>
    <w:pPr>
      <w:tabs>
        <w:tab w:val="right" w:leader="dot" w:pos="8460"/>
      </w:tabs>
    </w:pPr>
    <w:rPr>
      <w:szCs w:val="24"/>
    </w:rPr>
  </w:style>
  <w:style w:type="character" w:styleId="Collegamentoipertestuale">
    <w:name w:val="Hyperlink"/>
    <w:basedOn w:val="Carpredefinitoparagrafo"/>
    <w:uiPriority w:val="99"/>
    <w:rsid w:val="004C2993"/>
    <w:rPr>
      <w:color w:val="0000FF"/>
      <w:u w:val="single"/>
    </w:rPr>
  </w:style>
  <w:style w:type="table" w:styleId="Grigliatabella">
    <w:name w:val="Table Grid"/>
    <w:basedOn w:val="Tabellanormale"/>
    <w:rsid w:val="004C2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414FE"/>
    <w:rPr>
      <w:sz w:val="24"/>
    </w:rPr>
  </w:style>
  <w:style w:type="paragraph" w:styleId="Intestazione">
    <w:name w:val="header"/>
    <w:basedOn w:val="Normale"/>
    <w:rsid w:val="00E4126F"/>
    <w:pPr>
      <w:tabs>
        <w:tab w:val="center" w:pos="4819"/>
        <w:tab w:val="right" w:pos="9638"/>
      </w:tabs>
    </w:pPr>
  </w:style>
  <w:style w:type="character" w:styleId="Numeropagina">
    <w:name w:val="page number"/>
    <w:basedOn w:val="Carpredefinitoparagrafo"/>
    <w:rsid w:val="00E4126F"/>
  </w:style>
  <w:style w:type="paragraph" w:styleId="Pidipagina">
    <w:name w:val="footer"/>
    <w:basedOn w:val="Normale"/>
    <w:link w:val="PidipaginaCarattere"/>
    <w:uiPriority w:val="99"/>
    <w:rsid w:val="00A068AC"/>
    <w:pPr>
      <w:tabs>
        <w:tab w:val="center" w:pos="4819"/>
        <w:tab w:val="right" w:pos="9638"/>
      </w:tabs>
    </w:pPr>
  </w:style>
  <w:style w:type="paragraph" w:styleId="Testofumetto">
    <w:name w:val="Balloon Text"/>
    <w:basedOn w:val="Normale"/>
    <w:semiHidden/>
    <w:rsid w:val="0079117F"/>
    <w:rPr>
      <w:rFonts w:ascii="Tahoma" w:hAnsi="Tahoma" w:cs="Tahoma"/>
      <w:sz w:val="16"/>
      <w:szCs w:val="16"/>
    </w:rPr>
  </w:style>
  <w:style w:type="paragraph" w:styleId="Indirizzomittente">
    <w:name w:val="envelope return"/>
    <w:basedOn w:val="Normale"/>
    <w:rsid w:val="00453B20"/>
    <w:pPr>
      <w:jc w:val="both"/>
    </w:pPr>
  </w:style>
  <w:style w:type="paragraph" w:styleId="Nessunaspaziatura">
    <w:name w:val="No Spacing"/>
    <w:uiPriority w:val="1"/>
    <w:qFormat/>
    <w:rsid w:val="000414FE"/>
    <w:rPr>
      <w:sz w:val="24"/>
    </w:rPr>
  </w:style>
  <w:style w:type="character" w:customStyle="1" w:styleId="PidipaginaCarattere">
    <w:name w:val="Piè di pagina Carattere"/>
    <w:basedOn w:val="Carpredefinitoparagrafo"/>
    <w:link w:val="Pidipagina"/>
    <w:uiPriority w:val="99"/>
    <w:rsid w:val="00425018"/>
    <w:rPr>
      <w:sz w:val="24"/>
    </w:rPr>
  </w:style>
</w:styles>
</file>

<file path=word/webSettings.xml><?xml version="1.0" encoding="utf-8"?>
<w:webSettings xmlns:r="http://schemas.openxmlformats.org/officeDocument/2006/relationships" xmlns:w="http://schemas.openxmlformats.org/wordprocessingml/2006/main">
  <w:divs>
    <w:div w:id="21256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1937-B8B5-46C7-8A2A-0981AA19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SENATO DELLA REPUBBLICA</vt:lpstr>
    </vt:vector>
  </TitlesOfParts>
  <Company>Senato della Repubblica</Company>
  <LinksUpToDate>false</LinksUpToDate>
  <CharactersWithSpaces>6833</CharactersWithSpaces>
  <SharedDoc>false</SharedDoc>
  <HLinks>
    <vt:vector size="6" baseType="variant">
      <vt:variant>
        <vt:i4>1114171</vt:i4>
      </vt:variant>
      <vt:variant>
        <vt:i4>2</vt:i4>
      </vt:variant>
      <vt:variant>
        <vt:i4>0</vt:i4>
      </vt:variant>
      <vt:variant>
        <vt:i4>5</vt:i4>
      </vt:variant>
      <vt:variant>
        <vt:lpwstr/>
      </vt:variant>
      <vt:variant>
        <vt:lpwstr>_Toc247597706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DELLA REPUBBLICA</dc:title>
  <dc:creator>INFORMATICA</dc:creator>
  <cp:lastModifiedBy>USB</cp:lastModifiedBy>
  <cp:revision>2</cp:revision>
  <cp:lastPrinted>2011-09-15T08:27:00Z</cp:lastPrinted>
  <dcterms:created xsi:type="dcterms:W3CDTF">2011-09-18T21:47:00Z</dcterms:created>
  <dcterms:modified xsi:type="dcterms:W3CDTF">2011-09-18T21:47:00Z</dcterms:modified>
</cp:coreProperties>
</file>